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 con associazioni e altri enti di diritto privato non di competenza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definizione e nella elaborazione di convenzioni tra i comuni e tra i comuni e provincia, costituzione e modificazione di forme associative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Le convenzioni possono prevedere l'organizzazione delle attivita' in collaborazione con l'Ente, l'utilizzo delle strutture di proprieta' pubblica, benefici indiretti, forme di sostegno alle iniziative e contributi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340F1D" w:rsidRDefault="000520A4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5750FB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5750FB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750F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520A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0F1D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750FB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D27AC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2026-06-06T19:21:00Z</dcterms:modified>
</cp:coreProperties>
</file>